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C404B" w14:textId="778F11C5" w:rsidR="000D2505" w:rsidRDefault="000D2505" w:rsidP="000D2505">
      <w:pPr>
        <w:rPr>
          <w:lang w:val="en-US"/>
        </w:rPr>
      </w:pPr>
      <w:r w:rsidRPr="00393456">
        <w:rPr>
          <w:b/>
          <w:bCs/>
          <w:lang w:val="en-US"/>
        </w:rPr>
        <w:t>Justification</w:t>
      </w:r>
      <w:r w:rsidRPr="00393456">
        <w:rPr>
          <w:lang w:val="en-US"/>
        </w:rPr>
        <w:t xml:space="preserve">: The Thermostat </w:t>
      </w:r>
      <w:r>
        <w:rPr>
          <w:lang w:val="en-US"/>
        </w:rPr>
        <w:t>Command</w:t>
      </w:r>
      <w:r w:rsidRPr="00393456">
        <w:rPr>
          <w:lang w:val="en-US"/>
        </w:rPr>
        <w:t xml:space="preserve"> 2 a</w:t>
      </w:r>
      <w:r>
        <w:rPr>
          <w:lang w:val="en-US"/>
        </w:rPr>
        <w:t xml:space="preserve">lready defines </w:t>
      </w:r>
      <w:r w:rsidR="000F0E9F">
        <w:rPr>
          <w:lang w:val="en-US"/>
        </w:rPr>
        <w:t>a</w:t>
      </w:r>
      <w:r>
        <w:rPr>
          <w:lang w:val="en-US"/>
        </w:rPr>
        <w:t xml:space="preserve"> reduced noise mode. We want to extend this </w:t>
      </w:r>
      <w:r w:rsidR="00FA7CF6">
        <w:rPr>
          <w:lang w:val="en-US"/>
        </w:rPr>
        <w:t>selection</w:t>
      </w:r>
      <w:r>
        <w:rPr>
          <w:lang w:val="en-US"/>
        </w:rPr>
        <w:t xml:space="preserve"> with two additional modes: an eco-mode (for low energy operation) and a turbo-mode (for high-performance operation). They behave like the reduce noise mode as supplementary modes to e.g. heating or cooling.</w:t>
      </w:r>
    </w:p>
    <w:p w14:paraId="723B4181" w14:textId="77777777" w:rsidR="000D2505" w:rsidRPr="00393456" w:rsidRDefault="000D2505" w:rsidP="000D2505">
      <w:pPr>
        <w:rPr>
          <w:lang w:val="en-US"/>
        </w:rPr>
      </w:pPr>
      <w:r>
        <w:rPr>
          <w:lang w:val="en-US"/>
        </w:rPr>
        <w:t>Changes highlighted in red.</w:t>
      </w:r>
    </w:p>
    <w:p w14:paraId="17FF3998" w14:textId="5AAA2B42" w:rsidR="000D2505" w:rsidRDefault="000D2505" w:rsidP="000D2505">
      <w:pPr>
        <w:pStyle w:val="berschrift1"/>
        <w:rPr>
          <w:lang w:val="en-US"/>
        </w:rPr>
      </w:pPr>
      <w:r>
        <w:rPr>
          <w:lang w:val="en-US"/>
        </w:rPr>
        <w:t>6.16.5 Thermostat Command 2</w:t>
      </w:r>
    </w:p>
    <w:p w14:paraId="355140A1" w14:textId="77777777" w:rsidR="000D2505" w:rsidRDefault="000D2505" w:rsidP="000D2505">
      <w:pPr>
        <w:rPr>
          <w:lang w:val="en-US"/>
        </w:rPr>
      </w:pPr>
      <w:r w:rsidRPr="00453790">
        <w:rPr>
          <w:lang w:val="en-US"/>
        </w:rPr>
        <w:t xml:space="preserve">This DGN provides several methods to manually adjust the set point. If Schedule Mode is Enabled while the setpoint is manually adjusted, the setpoint will change with the next scheduled change. If Schedule Mode is Disabled, then the setpoint will not change. Some thermostats may automatically revert to the original setpoint after a period of time. This behavior is not specifically addressed in this DGN. </w:t>
      </w:r>
    </w:p>
    <w:p w14:paraId="0929341D" w14:textId="57FAA7DF" w:rsidR="000D2505" w:rsidRDefault="000D2505" w:rsidP="000D2505">
      <w:pPr>
        <w:rPr>
          <w:lang w:val="en-US"/>
        </w:rPr>
      </w:pPr>
      <w:r w:rsidRPr="00453790">
        <w:rPr>
          <w:lang w:val="en-US"/>
        </w:rPr>
        <w:t>To put the thermostat in a</w:t>
      </w:r>
      <w:r w:rsidR="00866320">
        <w:rPr>
          <w:lang w:val="en-US"/>
        </w:rPr>
        <w:t xml:space="preserve"> “</w:t>
      </w:r>
      <w:r w:rsidRPr="00453790">
        <w:rPr>
          <w:lang w:val="en-US"/>
        </w:rPr>
        <w:t>Storage</w:t>
      </w:r>
      <w:r w:rsidR="00866320">
        <w:rPr>
          <w:lang w:val="en-US"/>
        </w:rPr>
        <w:t>”</w:t>
      </w:r>
      <w:r w:rsidRPr="00453790">
        <w:rPr>
          <w:lang w:val="en-US"/>
        </w:rPr>
        <w:t xml:space="preserve"> mode, this DGN should be used in conjunction with THERMOSTAT_COMMAND_1 and the</w:t>
      </w:r>
      <w:r>
        <w:rPr>
          <w:lang w:val="en-US"/>
        </w:rPr>
        <w:t xml:space="preserve"> </w:t>
      </w:r>
      <w:r w:rsidRPr="00453790">
        <w:rPr>
          <w:lang w:val="en-US"/>
        </w:rPr>
        <w:t>Schedule Mode should be set to Disabled. To force the thermostat to resume the scheduled mode the Current Schedule Instance</w:t>
      </w:r>
      <w:r>
        <w:rPr>
          <w:lang w:val="en-US"/>
        </w:rPr>
        <w:t xml:space="preserve"> </w:t>
      </w:r>
      <w:r w:rsidRPr="00453790">
        <w:rPr>
          <w:lang w:val="en-US"/>
        </w:rPr>
        <w:t>should be set to 251. For example, when bringing the thermostat out of Storage (Instance 250), the Instance should be set to</w:t>
      </w:r>
      <w:r>
        <w:rPr>
          <w:lang w:val="en-US"/>
        </w:rPr>
        <w:t xml:space="preserve"> </w:t>
      </w:r>
      <w:r w:rsidRPr="00453790">
        <w:rPr>
          <w:lang w:val="en-US"/>
        </w:rPr>
        <w:t xml:space="preserve">251. The thermostat should check its schedule and choose the appropriate Instance (e.g. </w:t>
      </w:r>
      <w:r w:rsidR="00FC5B95">
        <w:rPr>
          <w:lang w:val="en-US"/>
        </w:rPr>
        <w:t>“W</w:t>
      </w:r>
      <w:r w:rsidRPr="00453790">
        <w:rPr>
          <w:lang w:val="en-US"/>
        </w:rPr>
        <w:t>ake</w:t>
      </w:r>
      <w:r w:rsidR="00FC5B95">
        <w:rPr>
          <w:lang w:val="en-US"/>
        </w:rPr>
        <w:t>”</w:t>
      </w:r>
      <w:r w:rsidRPr="00453790">
        <w:rPr>
          <w:lang w:val="en-US"/>
        </w:rPr>
        <w:t>) accordingly. Table 6.16.5a</w:t>
      </w:r>
      <w:r>
        <w:rPr>
          <w:lang w:val="en-US"/>
        </w:rPr>
        <w:t xml:space="preserve"> </w:t>
      </w:r>
      <w:r w:rsidRPr="00453790">
        <w:rPr>
          <w:lang w:val="en-US"/>
        </w:rPr>
        <w:t>defines the DG attributes, and Table 6.16.5b defines the signal and parameter attributes.</w:t>
      </w:r>
    </w:p>
    <w:p w14:paraId="0CC0E4ED" w14:textId="77777777" w:rsidR="000D2505" w:rsidRDefault="000D2505" w:rsidP="000D2505">
      <w:pPr>
        <w:rPr>
          <w:lang w:val="en-US"/>
        </w:rPr>
      </w:pPr>
    </w:p>
    <w:p w14:paraId="5F1B07E6" w14:textId="77777777" w:rsidR="000D2505" w:rsidRDefault="000D2505" w:rsidP="000D2505">
      <w:pPr>
        <w:rPr>
          <w:lang w:val="en-US"/>
        </w:rPr>
      </w:pPr>
      <w:r>
        <w:rPr>
          <w:lang w:val="en-US"/>
        </w:rPr>
        <w:tab/>
      </w:r>
      <w:r>
        <w:rPr>
          <w:lang w:val="en-US"/>
        </w:rPr>
        <w:tab/>
      </w:r>
      <w:r>
        <w:rPr>
          <w:lang w:val="en-US"/>
        </w:rPr>
        <w:tab/>
      </w:r>
      <w:r>
        <w:rPr>
          <w:lang w:val="en-US"/>
        </w:rPr>
        <w:tab/>
      </w:r>
      <w:r w:rsidRPr="00453790">
        <w:rPr>
          <w:b/>
          <w:bCs/>
        </w:rPr>
        <w:t>Table 6.16.5a — DG definition</w:t>
      </w:r>
    </w:p>
    <w:tbl>
      <w:tblPr>
        <w:tblStyle w:val="Tabellenraster"/>
        <w:tblW w:w="0" w:type="auto"/>
        <w:tblInd w:w="1271" w:type="dxa"/>
        <w:tblLook w:val="04A0" w:firstRow="1" w:lastRow="0" w:firstColumn="1" w:lastColumn="0" w:noHBand="0" w:noVBand="1"/>
      </w:tblPr>
      <w:tblGrid>
        <w:gridCol w:w="2835"/>
        <w:gridCol w:w="3260"/>
      </w:tblGrid>
      <w:tr w:rsidR="000D2505" w14:paraId="1F4CF38A" w14:textId="77777777" w:rsidTr="00234547">
        <w:tc>
          <w:tcPr>
            <w:tcW w:w="2835" w:type="dxa"/>
          </w:tcPr>
          <w:p w14:paraId="2B0AFE6A" w14:textId="77777777" w:rsidR="000D2505" w:rsidRPr="00254D90" w:rsidRDefault="000D2505" w:rsidP="00234547">
            <w:pPr>
              <w:rPr>
                <w:b/>
                <w:lang w:val="en-US"/>
              </w:rPr>
            </w:pPr>
            <w:r w:rsidRPr="00254D90">
              <w:rPr>
                <w:b/>
                <w:lang w:val="en-US"/>
              </w:rPr>
              <w:t>DG Attribute</w:t>
            </w:r>
          </w:p>
        </w:tc>
        <w:tc>
          <w:tcPr>
            <w:tcW w:w="3260" w:type="dxa"/>
          </w:tcPr>
          <w:p w14:paraId="5FCEE5A6" w14:textId="77777777" w:rsidR="000D2505" w:rsidRPr="00254D90" w:rsidRDefault="000D2505" w:rsidP="00234547">
            <w:pPr>
              <w:rPr>
                <w:b/>
                <w:lang w:val="en-US"/>
              </w:rPr>
            </w:pPr>
            <w:r w:rsidRPr="00254D90">
              <w:rPr>
                <w:b/>
                <w:lang w:val="en-US"/>
              </w:rPr>
              <w:t>Value</w:t>
            </w:r>
          </w:p>
        </w:tc>
      </w:tr>
      <w:tr w:rsidR="000D2505" w14:paraId="0744D209" w14:textId="77777777" w:rsidTr="00234547">
        <w:tc>
          <w:tcPr>
            <w:tcW w:w="2835" w:type="dxa"/>
          </w:tcPr>
          <w:p w14:paraId="6627ADA0" w14:textId="77777777" w:rsidR="000D2505" w:rsidRDefault="000D2505" w:rsidP="00234547">
            <w:pPr>
              <w:rPr>
                <w:lang w:val="en-US"/>
              </w:rPr>
            </w:pPr>
            <w:r>
              <w:rPr>
                <w:lang w:val="en-US"/>
              </w:rPr>
              <w:t>Name</w:t>
            </w:r>
          </w:p>
        </w:tc>
        <w:tc>
          <w:tcPr>
            <w:tcW w:w="3260" w:type="dxa"/>
          </w:tcPr>
          <w:p w14:paraId="1B3CD1AE" w14:textId="77777777" w:rsidR="000D2505" w:rsidRDefault="000D2505" w:rsidP="00234547">
            <w:pPr>
              <w:rPr>
                <w:lang w:val="en-US"/>
              </w:rPr>
            </w:pPr>
            <w:r w:rsidRPr="00453790">
              <w:rPr>
                <w:lang w:val="en-US"/>
              </w:rPr>
              <w:t>THERMOSTAT_COMMAND_2</w:t>
            </w:r>
          </w:p>
        </w:tc>
      </w:tr>
      <w:tr w:rsidR="000D2505" w14:paraId="38B1204F" w14:textId="77777777" w:rsidTr="00234547">
        <w:tc>
          <w:tcPr>
            <w:tcW w:w="2835" w:type="dxa"/>
          </w:tcPr>
          <w:p w14:paraId="763A643B" w14:textId="77777777" w:rsidR="000D2505" w:rsidRDefault="000D2505" w:rsidP="00234547">
            <w:pPr>
              <w:rPr>
                <w:lang w:val="en-US"/>
              </w:rPr>
            </w:pPr>
            <w:r>
              <w:rPr>
                <w:lang w:val="en-US"/>
              </w:rPr>
              <w:t>DGN</w:t>
            </w:r>
          </w:p>
        </w:tc>
        <w:tc>
          <w:tcPr>
            <w:tcW w:w="3260" w:type="dxa"/>
          </w:tcPr>
          <w:p w14:paraId="392417C8" w14:textId="77777777" w:rsidR="000D2505" w:rsidRDefault="000D2505" w:rsidP="00234547">
            <w:pPr>
              <w:rPr>
                <w:lang w:val="en-US"/>
              </w:rPr>
            </w:pPr>
            <w:r w:rsidRPr="00453790">
              <w:t>1FEF8h</w:t>
            </w:r>
          </w:p>
        </w:tc>
      </w:tr>
      <w:tr w:rsidR="000D2505" w14:paraId="0C643379" w14:textId="77777777" w:rsidTr="00234547">
        <w:tc>
          <w:tcPr>
            <w:tcW w:w="2835" w:type="dxa"/>
          </w:tcPr>
          <w:p w14:paraId="7E314991" w14:textId="77777777" w:rsidR="000D2505" w:rsidRDefault="000D2505" w:rsidP="00234547">
            <w:pPr>
              <w:rPr>
                <w:lang w:val="en-US"/>
              </w:rPr>
            </w:pPr>
            <w:r>
              <w:rPr>
                <w:lang w:val="en-US"/>
              </w:rPr>
              <w:t>Default Priority</w:t>
            </w:r>
          </w:p>
        </w:tc>
        <w:tc>
          <w:tcPr>
            <w:tcW w:w="3260" w:type="dxa"/>
          </w:tcPr>
          <w:p w14:paraId="43E03BD5" w14:textId="77777777" w:rsidR="000D2505" w:rsidRDefault="000D2505" w:rsidP="00234547">
            <w:pPr>
              <w:rPr>
                <w:lang w:val="en-US"/>
              </w:rPr>
            </w:pPr>
            <w:r>
              <w:rPr>
                <w:lang w:val="en-US"/>
              </w:rPr>
              <w:t>6</w:t>
            </w:r>
          </w:p>
        </w:tc>
      </w:tr>
      <w:tr w:rsidR="000D2505" w14:paraId="661ADEBD" w14:textId="77777777" w:rsidTr="00234547">
        <w:tc>
          <w:tcPr>
            <w:tcW w:w="2835" w:type="dxa"/>
          </w:tcPr>
          <w:p w14:paraId="7B175B4E" w14:textId="77777777" w:rsidR="000D2505" w:rsidRDefault="000D2505" w:rsidP="00234547">
            <w:pPr>
              <w:rPr>
                <w:lang w:val="en-US"/>
              </w:rPr>
            </w:pPr>
            <w:r>
              <w:rPr>
                <w:lang w:val="en-US"/>
              </w:rPr>
              <w:t>Maximum broadcast gap</w:t>
            </w:r>
          </w:p>
        </w:tc>
        <w:tc>
          <w:tcPr>
            <w:tcW w:w="3260" w:type="dxa"/>
          </w:tcPr>
          <w:p w14:paraId="4A16C1F0" w14:textId="77777777" w:rsidR="000D2505" w:rsidRDefault="000D2505" w:rsidP="00234547">
            <w:pPr>
              <w:rPr>
                <w:lang w:val="en-US"/>
              </w:rPr>
            </w:pPr>
            <w:r>
              <w:rPr>
                <w:lang w:val="en-US"/>
              </w:rPr>
              <w:t>N/A</w:t>
            </w:r>
          </w:p>
        </w:tc>
      </w:tr>
      <w:tr w:rsidR="000D2505" w14:paraId="419E705F" w14:textId="77777777" w:rsidTr="00234547">
        <w:tc>
          <w:tcPr>
            <w:tcW w:w="2835" w:type="dxa"/>
          </w:tcPr>
          <w:p w14:paraId="2FDFEE99" w14:textId="77777777" w:rsidR="000D2505" w:rsidRDefault="000D2505" w:rsidP="00234547">
            <w:pPr>
              <w:rPr>
                <w:lang w:val="en-US"/>
              </w:rPr>
            </w:pPr>
            <w:r>
              <w:rPr>
                <w:lang w:val="en-US"/>
              </w:rPr>
              <w:t>Normal broadcast gap</w:t>
            </w:r>
          </w:p>
        </w:tc>
        <w:tc>
          <w:tcPr>
            <w:tcW w:w="3260" w:type="dxa"/>
          </w:tcPr>
          <w:p w14:paraId="3CD139AD" w14:textId="77777777" w:rsidR="000D2505" w:rsidRDefault="000D2505" w:rsidP="00234547">
            <w:pPr>
              <w:rPr>
                <w:lang w:val="en-US"/>
              </w:rPr>
            </w:pPr>
            <w:r>
              <w:rPr>
                <w:lang w:val="en-US"/>
              </w:rPr>
              <w:t>As needed</w:t>
            </w:r>
          </w:p>
        </w:tc>
      </w:tr>
      <w:tr w:rsidR="000D2505" w14:paraId="2EF3D792" w14:textId="77777777" w:rsidTr="00234547">
        <w:tc>
          <w:tcPr>
            <w:tcW w:w="2835" w:type="dxa"/>
          </w:tcPr>
          <w:p w14:paraId="7649D422" w14:textId="77777777" w:rsidR="000D2505" w:rsidRDefault="000D2505" w:rsidP="00234547">
            <w:pPr>
              <w:rPr>
                <w:lang w:val="en-US"/>
              </w:rPr>
            </w:pPr>
            <w:r>
              <w:rPr>
                <w:lang w:val="en-US"/>
              </w:rPr>
              <w:t xml:space="preserve">Minimum broadcast gap </w:t>
            </w:r>
          </w:p>
        </w:tc>
        <w:tc>
          <w:tcPr>
            <w:tcW w:w="3260" w:type="dxa"/>
          </w:tcPr>
          <w:p w14:paraId="095C2493" w14:textId="77777777" w:rsidR="000D2505" w:rsidRDefault="000D2505" w:rsidP="00234547">
            <w:pPr>
              <w:rPr>
                <w:lang w:val="en-US"/>
              </w:rPr>
            </w:pPr>
            <w:r>
              <w:rPr>
                <w:lang w:val="en-US"/>
              </w:rPr>
              <w:t>As needed</w:t>
            </w:r>
          </w:p>
        </w:tc>
      </w:tr>
      <w:tr w:rsidR="000D2505" w14:paraId="48976584" w14:textId="77777777" w:rsidTr="00234547">
        <w:tc>
          <w:tcPr>
            <w:tcW w:w="2835" w:type="dxa"/>
          </w:tcPr>
          <w:p w14:paraId="5BA1D068" w14:textId="77777777" w:rsidR="000D2505" w:rsidRDefault="000D2505" w:rsidP="00234547">
            <w:pPr>
              <w:rPr>
                <w:lang w:val="en-US"/>
              </w:rPr>
            </w:pPr>
            <w:r>
              <w:rPr>
                <w:lang w:val="en-US"/>
              </w:rPr>
              <w:t>Number of frames</w:t>
            </w:r>
          </w:p>
        </w:tc>
        <w:tc>
          <w:tcPr>
            <w:tcW w:w="3260" w:type="dxa"/>
          </w:tcPr>
          <w:p w14:paraId="69C513D9" w14:textId="77777777" w:rsidR="000D2505" w:rsidRDefault="000D2505" w:rsidP="00234547">
            <w:pPr>
              <w:rPr>
                <w:lang w:val="en-US"/>
              </w:rPr>
            </w:pPr>
            <w:r>
              <w:rPr>
                <w:lang w:val="en-US"/>
              </w:rPr>
              <w:t>1</w:t>
            </w:r>
          </w:p>
        </w:tc>
      </w:tr>
      <w:tr w:rsidR="000D2505" w14:paraId="66051E48" w14:textId="77777777" w:rsidTr="00234547">
        <w:tc>
          <w:tcPr>
            <w:tcW w:w="2835" w:type="dxa"/>
          </w:tcPr>
          <w:p w14:paraId="731E5231" w14:textId="77777777" w:rsidR="000D2505" w:rsidRDefault="000D2505" w:rsidP="00234547">
            <w:pPr>
              <w:rPr>
                <w:lang w:val="en-US"/>
              </w:rPr>
            </w:pPr>
            <w:r>
              <w:rPr>
                <w:lang w:val="en-US"/>
              </w:rPr>
              <w:t>ACK requirements</w:t>
            </w:r>
          </w:p>
        </w:tc>
        <w:tc>
          <w:tcPr>
            <w:tcW w:w="3260" w:type="dxa"/>
          </w:tcPr>
          <w:p w14:paraId="6D440873" w14:textId="77777777" w:rsidR="000D2505" w:rsidRDefault="000D2505" w:rsidP="00234547">
            <w:pPr>
              <w:rPr>
                <w:lang w:val="en-US"/>
              </w:rPr>
            </w:pPr>
            <w:r>
              <w:rPr>
                <w:lang w:val="en-US"/>
              </w:rPr>
              <w:t>NAK, THERMOSTAT_STATUS_2</w:t>
            </w:r>
          </w:p>
        </w:tc>
      </w:tr>
    </w:tbl>
    <w:p w14:paraId="6D67AFC2" w14:textId="77777777" w:rsidR="000D2505" w:rsidRDefault="000D2505" w:rsidP="000D2505">
      <w:pPr>
        <w:rPr>
          <w:lang w:val="en-US"/>
        </w:rPr>
      </w:pPr>
    </w:p>
    <w:p w14:paraId="3DCE8C21" w14:textId="77777777" w:rsidR="000D2505" w:rsidRPr="00150782" w:rsidRDefault="000D2505" w:rsidP="000D2505">
      <w:pPr>
        <w:rPr>
          <w:lang w:val="en-US"/>
        </w:rPr>
      </w:pPr>
      <w:r>
        <w:rPr>
          <w:lang w:val="en-US"/>
        </w:rPr>
        <w:tab/>
      </w:r>
      <w:r>
        <w:rPr>
          <w:lang w:val="en-US"/>
        </w:rPr>
        <w:tab/>
      </w:r>
      <w:r>
        <w:rPr>
          <w:lang w:val="en-US"/>
        </w:rPr>
        <w:tab/>
      </w:r>
      <w:r w:rsidRPr="00150782">
        <w:rPr>
          <w:b/>
          <w:bCs/>
          <w:lang w:val="en-US"/>
        </w:rPr>
        <w:t>Table 6.16.5b— Signal and parameter definition</w:t>
      </w:r>
    </w:p>
    <w:tbl>
      <w:tblPr>
        <w:tblStyle w:val="Tabellenraster"/>
        <w:tblW w:w="0" w:type="auto"/>
        <w:tblLook w:val="04A0" w:firstRow="1" w:lastRow="0" w:firstColumn="1" w:lastColumn="0" w:noHBand="0" w:noVBand="1"/>
      </w:tblPr>
      <w:tblGrid>
        <w:gridCol w:w="704"/>
        <w:gridCol w:w="567"/>
        <w:gridCol w:w="2268"/>
        <w:gridCol w:w="1276"/>
        <w:gridCol w:w="709"/>
        <w:gridCol w:w="3492"/>
      </w:tblGrid>
      <w:tr w:rsidR="000D2505" w14:paraId="604CA035" w14:textId="77777777" w:rsidTr="00234547">
        <w:tc>
          <w:tcPr>
            <w:tcW w:w="704" w:type="dxa"/>
          </w:tcPr>
          <w:p w14:paraId="37E2A222" w14:textId="77777777" w:rsidR="000D2505" w:rsidRPr="00254D90" w:rsidRDefault="000D2505" w:rsidP="00234547">
            <w:pPr>
              <w:rPr>
                <w:b/>
                <w:lang w:val="en-US"/>
              </w:rPr>
            </w:pPr>
            <w:r w:rsidRPr="00254D90">
              <w:rPr>
                <w:b/>
                <w:lang w:val="en-US"/>
              </w:rPr>
              <w:t>Byte</w:t>
            </w:r>
          </w:p>
        </w:tc>
        <w:tc>
          <w:tcPr>
            <w:tcW w:w="567" w:type="dxa"/>
          </w:tcPr>
          <w:p w14:paraId="0C72CB85" w14:textId="77777777" w:rsidR="000D2505" w:rsidRPr="00254D90" w:rsidRDefault="000D2505" w:rsidP="00234547">
            <w:pPr>
              <w:rPr>
                <w:b/>
                <w:lang w:val="en-US"/>
              </w:rPr>
            </w:pPr>
            <w:r w:rsidRPr="00254D90">
              <w:rPr>
                <w:b/>
                <w:lang w:val="en-US"/>
              </w:rPr>
              <w:t>Bit</w:t>
            </w:r>
          </w:p>
        </w:tc>
        <w:tc>
          <w:tcPr>
            <w:tcW w:w="2268" w:type="dxa"/>
          </w:tcPr>
          <w:p w14:paraId="2AF666A3" w14:textId="77777777" w:rsidR="000D2505" w:rsidRPr="00254D90" w:rsidRDefault="000D2505" w:rsidP="00234547">
            <w:pPr>
              <w:rPr>
                <w:b/>
                <w:lang w:val="en-US"/>
              </w:rPr>
            </w:pPr>
            <w:r w:rsidRPr="00254D90">
              <w:rPr>
                <w:b/>
                <w:lang w:val="en-US"/>
              </w:rPr>
              <w:t>Name</w:t>
            </w:r>
          </w:p>
        </w:tc>
        <w:tc>
          <w:tcPr>
            <w:tcW w:w="1276" w:type="dxa"/>
          </w:tcPr>
          <w:p w14:paraId="49CC5355" w14:textId="77777777" w:rsidR="000D2505" w:rsidRPr="00254D90" w:rsidRDefault="000D2505" w:rsidP="00234547">
            <w:pPr>
              <w:rPr>
                <w:b/>
                <w:lang w:val="en-US"/>
              </w:rPr>
            </w:pPr>
            <w:r w:rsidRPr="00254D90">
              <w:rPr>
                <w:b/>
                <w:lang w:val="en-US"/>
              </w:rPr>
              <w:t>Data type</w:t>
            </w:r>
          </w:p>
        </w:tc>
        <w:tc>
          <w:tcPr>
            <w:tcW w:w="709" w:type="dxa"/>
          </w:tcPr>
          <w:p w14:paraId="3EA5AEBC" w14:textId="77777777" w:rsidR="000D2505" w:rsidRPr="00254D90" w:rsidRDefault="000D2505" w:rsidP="00234547">
            <w:pPr>
              <w:rPr>
                <w:b/>
                <w:lang w:val="en-US"/>
              </w:rPr>
            </w:pPr>
            <w:r w:rsidRPr="00254D90">
              <w:rPr>
                <w:b/>
                <w:lang w:val="en-US"/>
              </w:rPr>
              <w:t>Unit</w:t>
            </w:r>
          </w:p>
        </w:tc>
        <w:tc>
          <w:tcPr>
            <w:tcW w:w="3492" w:type="dxa"/>
          </w:tcPr>
          <w:p w14:paraId="752D2761" w14:textId="77777777" w:rsidR="000D2505" w:rsidRPr="00254D90" w:rsidRDefault="000D2505" w:rsidP="00234547">
            <w:pPr>
              <w:rPr>
                <w:b/>
                <w:lang w:val="en-US"/>
              </w:rPr>
            </w:pPr>
            <w:r w:rsidRPr="00254D90">
              <w:rPr>
                <w:b/>
                <w:lang w:val="en-US"/>
              </w:rPr>
              <w:t>Value definition</w:t>
            </w:r>
          </w:p>
        </w:tc>
      </w:tr>
      <w:tr w:rsidR="000D2505" w:rsidRPr="000F0E9F" w14:paraId="282C50E4" w14:textId="77777777" w:rsidTr="00234547">
        <w:tc>
          <w:tcPr>
            <w:tcW w:w="704" w:type="dxa"/>
          </w:tcPr>
          <w:p w14:paraId="76AB07B6" w14:textId="77777777" w:rsidR="000D2505" w:rsidRDefault="000D2505" w:rsidP="00234547">
            <w:pPr>
              <w:rPr>
                <w:lang w:val="en-US"/>
              </w:rPr>
            </w:pPr>
            <w:r>
              <w:rPr>
                <w:lang w:val="en-US"/>
              </w:rPr>
              <w:t>0</w:t>
            </w:r>
          </w:p>
        </w:tc>
        <w:tc>
          <w:tcPr>
            <w:tcW w:w="567" w:type="dxa"/>
          </w:tcPr>
          <w:p w14:paraId="1A53D7FE" w14:textId="77777777" w:rsidR="000D2505" w:rsidRDefault="000D2505" w:rsidP="00234547">
            <w:pPr>
              <w:rPr>
                <w:lang w:val="en-US"/>
              </w:rPr>
            </w:pPr>
            <w:r>
              <w:rPr>
                <w:lang w:val="en-US"/>
              </w:rPr>
              <w:t>-</w:t>
            </w:r>
          </w:p>
        </w:tc>
        <w:tc>
          <w:tcPr>
            <w:tcW w:w="2268" w:type="dxa"/>
          </w:tcPr>
          <w:p w14:paraId="1D91DCF4" w14:textId="77777777" w:rsidR="000D2505" w:rsidRDefault="000D2505" w:rsidP="00234547">
            <w:pPr>
              <w:rPr>
                <w:lang w:val="en-US"/>
              </w:rPr>
            </w:pPr>
            <w:r>
              <w:rPr>
                <w:lang w:val="en-US"/>
              </w:rPr>
              <w:t>Instance</w:t>
            </w:r>
          </w:p>
        </w:tc>
        <w:tc>
          <w:tcPr>
            <w:tcW w:w="1276" w:type="dxa"/>
          </w:tcPr>
          <w:p w14:paraId="7FD64086" w14:textId="77777777" w:rsidR="000D2505" w:rsidRDefault="000D2505" w:rsidP="00234547">
            <w:pPr>
              <w:rPr>
                <w:lang w:val="en-US"/>
              </w:rPr>
            </w:pPr>
            <w:r>
              <w:rPr>
                <w:lang w:val="en-US"/>
              </w:rPr>
              <w:t>uint8</w:t>
            </w:r>
          </w:p>
        </w:tc>
        <w:tc>
          <w:tcPr>
            <w:tcW w:w="709" w:type="dxa"/>
          </w:tcPr>
          <w:p w14:paraId="5976443F" w14:textId="77777777" w:rsidR="000D2505" w:rsidRDefault="000D2505" w:rsidP="00234547">
            <w:pPr>
              <w:rPr>
                <w:lang w:val="en-US"/>
              </w:rPr>
            </w:pPr>
            <w:r>
              <w:rPr>
                <w:lang w:val="en-US"/>
              </w:rPr>
              <w:t>-</w:t>
            </w:r>
          </w:p>
        </w:tc>
        <w:tc>
          <w:tcPr>
            <w:tcW w:w="3492" w:type="dxa"/>
          </w:tcPr>
          <w:p w14:paraId="2925108F" w14:textId="77777777" w:rsidR="000D2505" w:rsidRPr="00453790" w:rsidRDefault="000D2505" w:rsidP="00234547">
            <w:pPr>
              <w:rPr>
                <w:lang w:val="en-US"/>
              </w:rPr>
            </w:pPr>
            <w:r w:rsidRPr="00453790">
              <w:rPr>
                <w:lang w:val="en-US"/>
              </w:rPr>
              <w:t>see Table 5.3</w:t>
            </w:r>
          </w:p>
          <w:p w14:paraId="0DF91877" w14:textId="77777777" w:rsidR="000D2505" w:rsidRPr="00453790" w:rsidRDefault="000D2505" w:rsidP="00234547">
            <w:pPr>
              <w:rPr>
                <w:lang w:val="en-US"/>
              </w:rPr>
            </w:pPr>
            <w:r w:rsidRPr="00453790">
              <w:rPr>
                <w:lang w:val="en-US"/>
              </w:rPr>
              <w:t xml:space="preserve">Corresponds to </w:t>
            </w:r>
            <w:r w:rsidRPr="00453790">
              <w:rPr>
                <w:rFonts w:hint="eastAsia"/>
                <w:lang w:val="en-US"/>
              </w:rPr>
              <w:t>“</w:t>
            </w:r>
            <w:r w:rsidRPr="00453790">
              <w:rPr>
                <w:lang w:val="en-US"/>
              </w:rPr>
              <w:t>Zones</w:t>
            </w:r>
            <w:r w:rsidRPr="00453790">
              <w:rPr>
                <w:rFonts w:hint="eastAsia"/>
                <w:lang w:val="en-US"/>
              </w:rPr>
              <w:t>”</w:t>
            </w:r>
            <w:r w:rsidRPr="00453790">
              <w:rPr>
                <w:lang w:val="en-US"/>
              </w:rPr>
              <w:t xml:space="preserve"> in user terminology.</w:t>
            </w:r>
          </w:p>
        </w:tc>
      </w:tr>
      <w:tr w:rsidR="000D2505" w:rsidRPr="000F0E9F" w14:paraId="00C71297" w14:textId="77777777" w:rsidTr="00234547">
        <w:tc>
          <w:tcPr>
            <w:tcW w:w="704" w:type="dxa"/>
          </w:tcPr>
          <w:p w14:paraId="4728157E" w14:textId="77777777" w:rsidR="000D2505" w:rsidRDefault="000D2505" w:rsidP="00234547">
            <w:pPr>
              <w:rPr>
                <w:lang w:val="en-US"/>
              </w:rPr>
            </w:pPr>
            <w:r>
              <w:rPr>
                <w:lang w:val="en-US"/>
              </w:rPr>
              <w:t>1</w:t>
            </w:r>
          </w:p>
        </w:tc>
        <w:tc>
          <w:tcPr>
            <w:tcW w:w="567" w:type="dxa"/>
          </w:tcPr>
          <w:p w14:paraId="67CD545E" w14:textId="77777777" w:rsidR="000D2505" w:rsidRDefault="000D2505" w:rsidP="00234547">
            <w:pPr>
              <w:rPr>
                <w:lang w:val="en-US"/>
              </w:rPr>
            </w:pPr>
            <w:r>
              <w:rPr>
                <w:lang w:val="en-US"/>
              </w:rPr>
              <w:t>-</w:t>
            </w:r>
          </w:p>
        </w:tc>
        <w:tc>
          <w:tcPr>
            <w:tcW w:w="2268" w:type="dxa"/>
          </w:tcPr>
          <w:p w14:paraId="4B2A92EF" w14:textId="77777777" w:rsidR="000D2505" w:rsidRDefault="000D2505" w:rsidP="00234547">
            <w:pPr>
              <w:rPr>
                <w:lang w:val="en-US"/>
              </w:rPr>
            </w:pPr>
            <w:r>
              <w:rPr>
                <w:lang w:val="en-US"/>
              </w:rPr>
              <w:t>Current schedule instance</w:t>
            </w:r>
          </w:p>
        </w:tc>
        <w:tc>
          <w:tcPr>
            <w:tcW w:w="1276" w:type="dxa"/>
          </w:tcPr>
          <w:p w14:paraId="3B53AD2C" w14:textId="77777777" w:rsidR="000D2505" w:rsidRDefault="000D2505" w:rsidP="00234547">
            <w:pPr>
              <w:rPr>
                <w:lang w:val="en-US"/>
              </w:rPr>
            </w:pPr>
            <w:r>
              <w:rPr>
                <w:lang w:val="en-US"/>
              </w:rPr>
              <w:t>uint8</w:t>
            </w:r>
          </w:p>
        </w:tc>
        <w:tc>
          <w:tcPr>
            <w:tcW w:w="709" w:type="dxa"/>
          </w:tcPr>
          <w:p w14:paraId="14273C5E" w14:textId="77777777" w:rsidR="000D2505" w:rsidRDefault="000D2505" w:rsidP="00234547">
            <w:pPr>
              <w:rPr>
                <w:lang w:val="en-US"/>
              </w:rPr>
            </w:pPr>
            <w:r>
              <w:rPr>
                <w:lang w:val="en-US"/>
              </w:rPr>
              <w:t>-</w:t>
            </w:r>
          </w:p>
        </w:tc>
        <w:tc>
          <w:tcPr>
            <w:tcW w:w="3492" w:type="dxa"/>
          </w:tcPr>
          <w:p w14:paraId="40438B49" w14:textId="77777777" w:rsidR="000D2505" w:rsidRPr="00453790" w:rsidRDefault="000D2505" w:rsidP="00234547">
            <w:pPr>
              <w:rPr>
                <w:lang w:val="en-US"/>
              </w:rPr>
            </w:pPr>
            <w:r w:rsidRPr="00453790">
              <w:rPr>
                <w:lang w:val="en-US"/>
              </w:rPr>
              <w:t>see Table 5.3</w:t>
            </w:r>
          </w:p>
          <w:p w14:paraId="7A433EA4" w14:textId="77777777" w:rsidR="000D2505" w:rsidRPr="00453790" w:rsidRDefault="000D2505" w:rsidP="00234547">
            <w:pPr>
              <w:rPr>
                <w:lang w:val="en-US"/>
              </w:rPr>
            </w:pPr>
            <w:r w:rsidRPr="00453790">
              <w:rPr>
                <w:lang w:val="en-US"/>
              </w:rPr>
              <w:t xml:space="preserve">251 </w:t>
            </w:r>
            <w:r w:rsidRPr="00453790">
              <w:rPr>
                <w:rFonts w:hint="eastAsia"/>
                <w:lang w:val="en-US"/>
              </w:rPr>
              <w:t>—</w:t>
            </w:r>
            <w:r w:rsidRPr="00453790">
              <w:rPr>
                <w:lang w:val="en-US"/>
              </w:rPr>
              <w:t xml:space="preserve"> Reset to </w:t>
            </w:r>
            <w:r w:rsidRPr="00453790">
              <w:rPr>
                <w:rFonts w:hint="eastAsia"/>
                <w:lang w:val="en-US"/>
              </w:rPr>
              <w:t>“</w:t>
            </w:r>
            <w:r w:rsidRPr="00453790">
              <w:rPr>
                <w:lang w:val="en-US"/>
              </w:rPr>
              <w:t>current</w:t>
            </w:r>
            <w:r>
              <w:rPr>
                <w:lang w:val="en-US"/>
              </w:rPr>
              <w:t xml:space="preserve">” </w:t>
            </w:r>
            <w:r w:rsidRPr="00453790">
              <w:rPr>
                <w:lang w:val="en-US"/>
              </w:rPr>
              <w:t>instance. Shall Force</w:t>
            </w:r>
            <w:r>
              <w:rPr>
                <w:lang w:val="en-US"/>
              </w:rPr>
              <w:t xml:space="preserve"> </w:t>
            </w:r>
            <w:r w:rsidRPr="00453790">
              <w:rPr>
                <w:lang w:val="en-US"/>
              </w:rPr>
              <w:t>the unit into the indicated mode.</w:t>
            </w:r>
          </w:p>
        </w:tc>
      </w:tr>
      <w:tr w:rsidR="000D2505" w14:paraId="70A87B46" w14:textId="77777777" w:rsidTr="00234547">
        <w:tc>
          <w:tcPr>
            <w:tcW w:w="704" w:type="dxa"/>
          </w:tcPr>
          <w:p w14:paraId="7020EBD1" w14:textId="77777777" w:rsidR="000D2505" w:rsidRDefault="000D2505" w:rsidP="00234547">
            <w:pPr>
              <w:rPr>
                <w:lang w:val="en-US"/>
              </w:rPr>
            </w:pPr>
            <w:r>
              <w:rPr>
                <w:lang w:val="en-US"/>
              </w:rPr>
              <w:t>2</w:t>
            </w:r>
          </w:p>
        </w:tc>
        <w:tc>
          <w:tcPr>
            <w:tcW w:w="567" w:type="dxa"/>
          </w:tcPr>
          <w:p w14:paraId="3A039D46" w14:textId="77777777" w:rsidR="000D2505" w:rsidRDefault="000D2505" w:rsidP="00234547">
            <w:pPr>
              <w:rPr>
                <w:lang w:val="en-US"/>
              </w:rPr>
            </w:pPr>
            <w:r>
              <w:rPr>
                <w:lang w:val="en-US"/>
              </w:rPr>
              <w:t>0-1</w:t>
            </w:r>
          </w:p>
        </w:tc>
        <w:tc>
          <w:tcPr>
            <w:tcW w:w="2268" w:type="dxa"/>
          </w:tcPr>
          <w:p w14:paraId="37B55E79" w14:textId="77777777" w:rsidR="000D2505" w:rsidRDefault="000D2505" w:rsidP="00234547">
            <w:pPr>
              <w:rPr>
                <w:lang w:val="en-US"/>
              </w:rPr>
            </w:pPr>
            <w:r>
              <w:rPr>
                <w:lang w:val="en-US"/>
              </w:rPr>
              <w:t>Reduced noise mode</w:t>
            </w:r>
          </w:p>
        </w:tc>
        <w:tc>
          <w:tcPr>
            <w:tcW w:w="1276" w:type="dxa"/>
          </w:tcPr>
          <w:p w14:paraId="43F60BD8" w14:textId="77777777" w:rsidR="000D2505" w:rsidRDefault="000D2505" w:rsidP="00234547">
            <w:pPr>
              <w:rPr>
                <w:lang w:val="en-US"/>
              </w:rPr>
            </w:pPr>
            <w:r>
              <w:rPr>
                <w:lang w:val="en-US"/>
              </w:rPr>
              <w:t>bit</w:t>
            </w:r>
          </w:p>
        </w:tc>
        <w:tc>
          <w:tcPr>
            <w:tcW w:w="709" w:type="dxa"/>
          </w:tcPr>
          <w:p w14:paraId="513126AC" w14:textId="77777777" w:rsidR="000D2505" w:rsidRDefault="000D2505" w:rsidP="00234547">
            <w:pPr>
              <w:rPr>
                <w:lang w:val="en-US"/>
              </w:rPr>
            </w:pPr>
            <w:r>
              <w:rPr>
                <w:lang w:val="en-US"/>
              </w:rPr>
              <w:t>-</w:t>
            </w:r>
          </w:p>
        </w:tc>
        <w:tc>
          <w:tcPr>
            <w:tcW w:w="3492" w:type="dxa"/>
          </w:tcPr>
          <w:p w14:paraId="65A58014" w14:textId="77777777" w:rsidR="000D2505" w:rsidRPr="00453790" w:rsidRDefault="000D2505" w:rsidP="00234547">
            <w:pPr>
              <w:rPr>
                <w:lang w:val="en-US"/>
              </w:rPr>
            </w:pPr>
            <w:r w:rsidRPr="00453790">
              <w:rPr>
                <w:lang w:val="en-US"/>
              </w:rPr>
              <w:t>Indicates that the units shall operate in a low</w:t>
            </w:r>
            <w:r>
              <w:rPr>
                <w:lang w:val="en-US"/>
              </w:rPr>
              <w:t xml:space="preserve"> </w:t>
            </w:r>
            <w:r w:rsidRPr="00453790">
              <w:rPr>
                <w:lang w:val="en-US"/>
              </w:rPr>
              <w:t>noise emission mode</w:t>
            </w:r>
          </w:p>
          <w:p w14:paraId="192F792D" w14:textId="77777777" w:rsidR="000D2505" w:rsidRPr="00453790" w:rsidRDefault="000D2505" w:rsidP="00234547">
            <w:pPr>
              <w:rPr>
                <w:lang w:val="en-US"/>
              </w:rPr>
            </w:pPr>
            <w:r w:rsidRPr="00453790">
              <w:rPr>
                <w:lang w:val="en-US"/>
              </w:rPr>
              <w:lastRenderedPageBreak/>
              <w:t>00b – Disabled</w:t>
            </w:r>
          </w:p>
          <w:p w14:paraId="4D487B21" w14:textId="77777777" w:rsidR="000D2505" w:rsidRDefault="000D2505" w:rsidP="00234547">
            <w:pPr>
              <w:rPr>
                <w:lang w:val="en-US"/>
              </w:rPr>
            </w:pPr>
            <w:r w:rsidRPr="00453790">
              <w:rPr>
                <w:lang w:val="en-US"/>
              </w:rPr>
              <w:t>01b – Enabled</w:t>
            </w:r>
          </w:p>
        </w:tc>
      </w:tr>
      <w:tr w:rsidR="000D2505" w14:paraId="6368FDD3" w14:textId="77777777" w:rsidTr="00234547">
        <w:tc>
          <w:tcPr>
            <w:tcW w:w="704" w:type="dxa"/>
          </w:tcPr>
          <w:p w14:paraId="0A8E27EA" w14:textId="77777777" w:rsidR="000D2505" w:rsidRPr="00453790" w:rsidRDefault="000D2505" w:rsidP="00234547">
            <w:pPr>
              <w:rPr>
                <w:color w:val="FF0000"/>
                <w:lang w:val="en-US"/>
              </w:rPr>
            </w:pPr>
            <w:r>
              <w:rPr>
                <w:color w:val="FF0000"/>
                <w:lang w:val="en-US"/>
              </w:rPr>
              <w:lastRenderedPageBreak/>
              <w:t>2</w:t>
            </w:r>
          </w:p>
        </w:tc>
        <w:tc>
          <w:tcPr>
            <w:tcW w:w="567" w:type="dxa"/>
          </w:tcPr>
          <w:p w14:paraId="0A9DFCAD" w14:textId="77777777" w:rsidR="000D2505" w:rsidRPr="00453790" w:rsidRDefault="000D2505" w:rsidP="00234547">
            <w:pPr>
              <w:rPr>
                <w:color w:val="FF0000"/>
                <w:lang w:val="en-US"/>
              </w:rPr>
            </w:pPr>
            <w:r w:rsidRPr="00453790">
              <w:rPr>
                <w:color w:val="FF0000"/>
                <w:lang w:val="en-US"/>
              </w:rPr>
              <w:t>2-3</w:t>
            </w:r>
          </w:p>
        </w:tc>
        <w:tc>
          <w:tcPr>
            <w:tcW w:w="2268" w:type="dxa"/>
          </w:tcPr>
          <w:p w14:paraId="69F322F5" w14:textId="77777777" w:rsidR="000D2505" w:rsidRPr="00453790" w:rsidRDefault="000D2505" w:rsidP="00234547">
            <w:pPr>
              <w:rPr>
                <w:color w:val="FF0000"/>
                <w:lang w:val="en-US"/>
              </w:rPr>
            </w:pPr>
            <w:r w:rsidRPr="00453790">
              <w:rPr>
                <w:color w:val="FF0000"/>
                <w:lang w:val="en-US"/>
              </w:rPr>
              <w:t>Eco mode</w:t>
            </w:r>
          </w:p>
        </w:tc>
        <w:tc>
          <w:tcPr>
            <w:tcW w:w="1276" w:type="dxa"/>
          </w:tcPr>
          <w:p w14:paraId="2F90EDFE" w14:textId="77777777" w:rsidR="000D2505" w:rsidRPr="00453790" w:rsidRDefault="000D2505" w:rsidP="00234547">
            <w:pPr>
              <w:rPr>
                <w:color w:val="FF0000"/>
                <w:lang w:val="en-US"/>
              </w:rPr>
            </w:pPr>
            <w:r w:rsidRPr="00453790">
              <w:rPr>
                <w:color w:val="FF0000"/>
                <w:lang w:val="en-US"/>
              </w:rPr>
              <w:t>bit</w:t>
            </w:r>
          </w:p>
        </w:tc>
        <w:tc>
          <w:tcPr>
            <w:tcW w:w="709" w:type="dxa"/>
          </w:tcPr>
          <w:p w14:paraId="6606ECB5" w14:textId="77777777" w:rsidR="000D2505" w:rsidRPr="00453790" w:rsidRDefault="000D2505" w:rsidP="00234547">
            <w:pPr>
              <w:rPr>
                <w:color w:val="FF0000"/>
                <w:lang w:val="en-US"/>
              </w:rPr>
            </w:pPr>
            <w:r w:rsidRPr="00453790">
              <w:rPr>
                <w:color w:val="FF0000"/>
                <w:lang w:val="en-US"/>
              </w:rPr>
              <w:t>-</w:t>
            </w:r>
          </w:p>
        </w:tc>
        <w:tc>
          <w:tcPr>
            <w:tcW w:w="3492" w:type="dxa"/>
          </w:tcPr>
          <w:p w14:paraId="32B3C7E0" w14:textId="77777777" w:rsidR="000D2505" w:rsidRPr="00453790" w:rsidRDefault="000D2505" w:rsidP="00234547">
            <w:pPr>
              <w:rPr>
                <w:color w:val="FF0000"/>
                <w:lang w:val="en-US"/>
              </w:rPr>
            </w:pPr>
            <w:r w:rsidRPr="00453790">
              <w:rPr>
                <w:color w:val="FF0000"/>
                <w:lang w:val="en-US"/>
              </w:rPr>
              <w:t>Indicates that the units shall operate in a low energy operation mode</w:t>
            </w:r>
          </w:p>
          <w:p w14:paraId="3607BA56" w14:textId="77777777" w:rsidR="000D2505" w:rsidRPr="00453790" w:rsidRDefault="000D2505" w:rsidP="00234547">
            <w:pPr>
              <w:rPr>
                <w:color w:val="FF0000"/>
                <w:lang w:val="en-US"/>
              </w:rPr>
            </w:pPr>
          </w:p>
          <w:p w14:paraId="6184468A" w14:textId="77777777" w:rsidR="000D2505" w:rsidRPr="00453790" w:rsidRDefault="000D2505" w:rsidP="00234547">
            <w:pPr>
              <w:rPr>
                <w:color w:val="FF0000"/>
                <w:lang w:val="en-US"/>
              </w:rPr>
            </w:pPr>
            <w:r w:rsidRPr="00453790">
              <w:rPr>
                <w:color w:val="FF0000"/>
                <w:lang w:val="en-US"/>
              </w:rPr>
              <w:t>00b – Disabled</w:t>
            </w:r>
          </w:p>
          <w:p w14:paraId="2A92F90C" w14:textId="77777777" w:rsidR="000D2505" w:rsidRPr="00453790" w:rsidRDefault="000D2505" w:rsidP="00234547">
            <w:pPr>
              <w:rPr>
                <w:color w:val="FF0000"/>
                <w:lang w:val="en-US"/>
              </w:rPr>
            </w:pPr>
            <w:r w:rsidRPr="00453790">
              <w:rPr>
                <w:color w:val="FF0000"/>
                <w:lang w:val="en-US"/>
              </w:rPr>
              <w:t>01b – Enabled</w:t>
            </w:r>
          </w:p>
        </w:tc>
      </w:tr>
      <w:tr w:rsidR="000D2505" w14:paraId="7C38917E" w14:textId="77777777" w:rsidTr="00234547">
        <w:tc>
          <w:tcPr>
            <w:tcW w:w="704" w:type="dxa"/>
          </w:tcPr>
          <w:p w14:paraId="4DDE77E5" w14:textId="77777777" w:rsidR="000D2505" w:rsidRPr="00453790" w:rsidRDefault="000D2505" w:rsidP="00234547">
            <w:pPr>
              <w:rPr>
                <w:color w:val="FF0000"/>
                <w:lang w:val="en-US"/>
              </w:rPr>
            </w:pPr>
            <w:r>
              <w:rPr>
                <w:color w:val="FF0000"/>
                <w:lang w:val="en-US"/>
              </w:rPr>
              <w:t>2</w:t>
            </w:r>
          </w:p>
        </w:tc>
        <w:tc>
          <w:tcPr>
            <w:tcW w:w="567" w:type="dxa"/>
          </w:tcPr>
          <w:p w14:paraId="6AAA69C6" w14:textId="77777777" w:rsidR="000D2505" w:rsidRPr="00453790" w:rsidRDefault="000D2505" w:rsidP="00234547">
            <w:pPr>
              <w:rPr>
                <w:color w:val="FF0000"/>
                <w:lang w:val="en-US"/>
              </w:rPr>
            </w:pPr>
            <w:r w:rsidRPr="00453790">
              <w:rPr>
                <w:color w:val="FF0000"/>
                <w:lang w:val="en-US"/>
              </w:rPr>
              <w:t>4-5</w:t>
            </w:r>
          </w:p>
        </w:tc>
        <w:tc>
          <w:tcPr>
            <w:tcW w:w="2268" w:type="dxa"/>
          </w:tcPr>
          <w:p w14:paraId="26A8CC1D" w14:textId="77777777" w:rsidR="000D2505" w:rsidRPr="00453790" w:rsidRDefault="000D2505" w:rsidP="00234547">
            <w:pPr>
              <w:rPr>
                <w:color w:val="FF0000"/>
                <w:lang w:val="en-US"/>
              </w:rPr>
            </w:pPr>
            <w:r w:rsidRPr="00453790">
              <w:rPr>
                <w:color w:val="FF0000"/>
                <w:lang w:val="en-US"/>
              </w:rPr>
              <w:t>Turbo mode</w:t>
            </w:r>
          </w:p>
        </w:tc>
        <w:tc>
          <w:tcPr>
            <w:tcW w:w="1276" w:type="dxa"/>
          </w:tcPr>
          <w:p w14:paraId="34AB3FB0" w14:textId="77777777" w:rsidR="000D2505" w:rsidRPr="00453790" w:rsidRDefault="000D2505" w:rsidP="00234547">
            <w:pPr>
              <w:rPr>
                <w:color w:val="FF0000"/>
                <w:lang w:val="en-US"/>
              </w:rPr>
            </w:pPr>
            <w:r w:rsidRPr="00453790">
              <w:rPr>
                <w:color w:val="FF0000"/>
                <w:lang w:val="en-US"/>
              </w:rPr>
              <w:t>bit</w:t>
            </w:r>
          </w:p>
        </w:tc>
        <w:tc>
          <w:tcPr>
            <w:tcW w:w="709" w:type="dxa"/>
          </w:tcPr>
          <w:p w14:paraId="28B723E5" w14:textId="77777777" w:rsidR="000D2505" w:rsidRPr="00453790" w:rsidRDefault="000D2505" w:rsidP="00234547">
            <w:pPr>
              <w:rPr>
                <w:color w:val="FF0000"/>
                <w:lang w:val="en-US"/>
              </w:rPr>
            </w:pPr>
            <w:r w:rsidRPr="00453790">
              <w:rPr>
                <w:color w:val="FF0000"/>
                <w:lang w:val="en-US"/>
              </w:rPr>
              <w:t>-</w:t>
            </w:r>
          </w:p>
        </w:tc>
        <w:tc>
          <w:tcPr>
            <w:tcW w:w="3492" w:type="dxa"/>
          </w:tcPr>
          <w:p w14:paraId="14E8E3AF" w14:textId="77777777" w:rsidR="000D2505" w:rsidRPr="00453790" w:rsidRDefault="000D2505" w:rsidP="00234547">
            <w:pPr>
              <w:rPr>
                <w:color w:val="FF0000"/>
                <w:lang w:val="en-US"/>
              </w:rPr>
            </w:pPr>
            <w:r w:rsidRPr="00453790">
              <w:rPr>
                <w:color w:val="FF0000"/>
                <w:lang w:val="en-US"/>
              </w:rPr>
              <w:t>Indicates that the units shall operate in a high-performance mode</w:t>
            </w:r>
          </w:p>
          <w:p w14:paraId="45735BBC" w14:textId="77777777" w:rsidR="000D2505" w:rsidRPr="00453790" w:rsidRDefault="000D2505" w:rsidP="00234547">
            <w:pPr>
              <w:rPr>
                <w:color w:val="FF0000"/>
                <w:lang w:val="en-US"/>
              </w:rPr>
            </w:pPr>
          </w:p>
          <w:p w14:paraId="759306BF" w14:textId="77777777" w:rsidR="000D2505" w:rsidRPr="00453790" w:rsidRDefault="000D2505" w:rsidP="00234547">
            <w:pPr>
              <w:rPr>
                <w:color w:val="FF0000"/>
                <w:lang w:val="en-US"/>
              </w:rPr>
            </w:pPr>
            <w:r w:rsidRPr="00453790">
              <w:rPr>
                <w:color w:val="FF0000"/>
                <w:lang w:val="en-US"/>
              </w:rPr>
              <w:t>00b – Disabled</w:t>
            </w:r>
          </w:p>
          <w:p w14:paraId="2476CA38" w14:textId="77777777" w:rsidR="000D2505" w:rsidRPr="00453790" w:rsidRDefault="000D2505" w:rsidP="00234547">
            <w:pPr>
              <w:rPr>
                <w:color w:val="FF0000"/>
                <w:lang w:val="en-US"/>
              </w:rPr>
            </w:pPr>
            <w:r w:rsidRPr="00453790">
              <w:rPr>
                <w:color w:val="FF0000"/>
                <w:lang w:val="en-US"/>
              </w:rPr>
              <w:t>01b – Enabled</w:t>
            </w:r>
          </w:p>
        </w:tc>
      </w:tr>
    </w:tbl>
    <w:p w14:paraId="21329619" w14:textId="77777777" w:rsidR="000D2505" w:rsidRPr="00453790" w:rsidRDefault="000D2505" w:rsidP="000D2505">
      <w:pPr>
        <w:rPr>
          <w:lang w:val="en-US"/>
        </w:rPr>
      </w:pPr>
    </w:p>
    <w:p w14:paraId="7D712D50" w14:textId="77777777" w:rsidR="005E0AF6" w:rsidRDefault="005E0AF6"/>
    <w:sectPr w:rsidR="005E0A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9D3"/>
    <w:rsid w:val="000D2505"/>
    <w:rsid w:val="000F0E9F"/>
    <w:rsid w:val="005E0AF6"/>
    <w:rsid w:val="0074794E"/>
    <w:rsid w:val="00866320"/>
    <w:rsid w:val="009B0CCA"/>
    <w:rsid w:val="00A4647F"/>
    <w:rsid w:val="00D90B51"/>
    <w:rsid w:val="00E349D3"/>
    <w:rsid w:val="00E44CE0"/>
    <w:rsid w:val="00FA7CF6"/>
    <w:rsid w:val="00FC5B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9ED87"/>
  <w15:chartTrackingRefBased/>
  <w15:docId w15:val="{1B7F9493-EBE9-42F8-8CE3-F41AF16A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2505"/>
  </w:style>
  <w:style w:type="paragraph" w:styleId="berschrift1">
    <w:name w:val="heading 1"/>
    <w:basedOn w:val="Standard"/>
    <w:next w:val="Standard"/>
    <w:link w:val="berschrift1Zchn"/>
    <w:uiPriority w:val="9"/>
    <w:qFormat/>
    <w:rsid w:val="00E34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34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349D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349D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349D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349D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349D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349D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349D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349D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349D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349D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349D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349D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349D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349D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349D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349D3"/>
    <w:rPr>
      <w:rFonts w:eastAsiaTheme="majorEastAsia" w:cstheme="majorBidi"/>
      <w:color w:val="272727" w:themeColor="text1" w:themeTint="D8"/>
    </w:rPr>
  </w:style>
  <w:style w:type="paragraph" w:styleId="Titel">
    <w:name w:val="Title"/>
    <w:basedOn w:val="Standard"/>
    <w:next w:val="Standard"/>
    <w:link w:val="TitelZchn"/>
    <w:uiPriority w:val="10"/>
    <w:qFormat/>
    <w:rsid w:val="00E34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349D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349D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349D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349D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349D3"/>
    <w:rPr>
      <w:i/>
      <w:iCs/>
      <w:color w:val="404040" w:themeColor="text1" w:themeTint="BF"/>
    </w:rPr>
  </w:style>
  <w:style w:type="paragraph" w:styleId="Listenabsatz">
    <w:name w:val="List Paragraph"/>
    <w:basedOn w:val="Standard"/>
    <w:uiPriority w:val="34"/>
    <w:qFormat/>
    <w:rsid w:val="00E349D3"/>
    <w:pPr>
      <w:ind w:left="720"/>
      <w:contextualSpacing/>
    </w:pPr>
  </w:style>
  <w:style w:type="character" w:styleId="IntensiveHervorhebung">
    <w:name w:val="Intense Emphasis"/>
    <w:basedOn w:val="Absatz-Standardschriftart"/>
    <w:uiPriority w:val="21"/>
    <w:qFormat/>
    <w:rsid w:val="00E349D3"/>
    <w:rPr>
      <w:i/>
      <w:iCs/>
      <w:color w:val="0F4761" w:themeColor="accent1" w:themeShade="BF"/>
    </w:rPr>
  </w:style>
  <w:style w:type="paragraph" w:styleId="IntensivesZitat">
    <w:name w:val="Intense Quote"/>
    <w:basedOn w:val="Standard"/>
    <w:next w:val="Standard"/>
    <w:link w:val="IntensivesZitatZchn"/>
    <w:uiPriority w:val="30"/>
    <w:qFormat/>
    <w:rsid w:val="00E34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349D3"/>
    <w:rPr>
      <w:i/>
      <w:iCs/>
      <w:color w:val="0F4761" w:themeColor="accent1" w:themeShade="BF"/>
    </w:rPr>
  </w:style>
  <w:style w:type="character" w:styleId="IntensiverVerweis">
    <w:name w:val="Intense Reference"/>
    <w:basedOn w:val="Absatz-Standardschriftart"/>
    <w:uiPriority w:val="32"/>
    <w:qFormat/>
    <w:rsid w:val="00E349D3"/>
    <w:rPr>
      <w:b/>
      <w:bCs/>
      <w:smallCaps/>
      <w:color w:val="0F4761" w:themeColor="accent1" w:themeShade="BF"/>
      <w:spacing w:val="5"/>
    </w:rPr>
  </w:style>
  <w:style w:type="table" w:styleId="Tabellenraster">
    <w:name w:val="Table Grid"/>
    <w:basedOn w:val="NormaleTabelle"/>
    <w:uiPriority w:val="39"/>
    <w:rsid w:val="000D2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1998</Characters>
  <Application>Microsoft Office Word</Application>
  <DocSecurity>0</DocSecurity>
  <Lines>16</Lines>
  <Paragraphs>4</Paragraphs>
  <ScaleCrop>false</ScaleCrop>
  <Company>EDIS</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Regele, Fabian</dc:creator>
  <cp:keywords/>
  <dc:description/>
  <cp:lastModifiedBy>Regele, Fabian</cp:lastModifiedBy>
  <cp:revision>6</cp:revision>
  <dcterms:created xsi:type="dcterms:W3CDTF">2025-01-31T09:33:00Z</dcterms:created>
  <dcterms:modified xsi:type="dcterms:W3CDTF">2025-01-31T10:06:00Z</dcterms:modified>
</cp:coreProperties>
</file>